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30" w:rsidRDefault="00D36A73">
      <w:pPr>
        <w:jc w:val="center"/>
        <w:rPr>
          <w:rFonts w:ascii="微软雅黑" w:eastAsia="微软雅黑" w:hAnsi="微软雅黑"/>
          <w:b/>
          <w:bCs/>
          <w:color w:val="292929"/>
          <w:sz w:val="36"/>
          <w:szCs w:val="36"/>
        </w:rPr>
      </w:pPr>
      <w:r>
        <w:rPr>
          <w:rFonts w:ascii="微软雅黑" w:eastAsia="微软雅黑" w:hAnsi="微软雅黑" w:hint="eastAsia"/>
          <w:b/>
          <w:bCs/>
          <w:color w:val="292929"/>
          <w:sz w:val="36"/>
          <w:szCs w:val="36"/>
        </w:rPr>
        <w:t>山东省</w:t>
      </w:r>
      <w:r w:rsidR="0015719C">
        <w:rPr>
          <w:rFonts w:ascii="微软雅黑" w:eastAsia="微软雅黑" w:hAnsi="微软雅黑" w:hint="eastAsia"/>
          <w:b/>
          <w:bCs/>
          <w:color w:val="292929"/>
          <w:sz w:val="36"/>
          <w:szCs w:val="36"/>
        </w:rPr>
        <w:t>工程硕博士培养改革试点</w:t>
      </w:r>
      <w:r w:rsidR="00825E28">
        <w:rPr>
          <w:rFonts w:ascii="微软雅黑" w:eastAsia="微软雅黑" w:hAnsi="微软雅黑" w:hint="eastAsia"/>
          <w:b/>
          <w:bCs/>
          <w:color w:val="292929"/>
          <w:sz w:val="36"/>
          <w:szCs w:val="36"/>
        </w:rPr>
        <w:t>专项计划招生流程</w:t>
      </w:r>
    </w:p>
    <w:p w:rsidR="00EF6C0D" w:rsidRDefault="00EF6C0D">
      <w:pPr>
        <w:jc w:val="center"/>
        <w:rPr>
          <w:rFonts w:ascii="微软雅黑" w:eastAsia="微软雅黑" w:hAnsi="微软雅黑"/>
          <w:b/>
          <w:bCs/>
          <w:color w:val="292929"/>
          <w:sz w:val="36"/>
          <w:szCs w:val="36"/>
        </w:rPr>
      </w:pPr>
    </w:p>
    <w:p w:rsidR="009A4830" w:rsidRDefault="00D36A73">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一、学校根据当年招生计划总体情况</w:t>
      </w:r>
      <w:r w:rsidR="00825E28">
        <w:rPr>
          <w:rFonts w:ascii="仿宋" w:eastAsia="仿宋" w:hAnsi="仿宋" w:cs="仿宋" w:hint="eastAsia"/>
          <w:sz w:val="28"/>
          <w:szCs w:val="28"/>
        </w:rPr>
        <w:t>，确定当年</w:t>
      </w:r>
      <w:r w:rsidR="0015719C">
        <w:rPr>
          <w:rFonts w:ascii="仿宋" w:eastAsia="仿宋" w:hAnsi="仿宋" w:cs="仿宋" w:hint="eastAsia"/>
          <w:sz w:val="28"/>
          <w:szCs w:val="28"/>
        </w:rPr>
        <w:t>山东省工程硕博士培养改革试点</w:t>
      </w:r>
      <w:r>
        <w:rPr>
          <w:rFonts w:ascii="仿宋" w:eastAsia="仿宋" w:hAnsi="仿宋" w:cs="仿宋" w:hint="eastAsia"/>
          <w:sz w:val="28"/>
          <w:szCs w:val="28"/>
        </w:rPr>
        <w:t>（以下简称</w:t>
      </w:r>
      <w:r w:rsidR="0015719C">
        <w:rPr>
          <w:rFonts w:ascii="仿宋" w:eastAsia="仿宋" w:hAnsi="仿宋" w:cs="仿宋" w:hint="eastAsia"/>
          <w:sz w:val="28"/>
          <w:szCs w:val="28"/>
        </w:rPr>
        <w:t>试点</w:t>
      </w:r>
      <w:r>
        <w:rPr>
          <w:rFonts w:ascii="仿宋" w:eastAsia="仿宋" w:hAnsi="仿宋" w:cs="仿宋" w:hint="eastAsia"/>
          <w:sz w:val="28"/>
          <w:szCs w:val="28"/>
        </w:rPr>
        <w:t>）</w:t>
      </w:r>
      <w:r w:rsidR="00825E28">
        <w:rPr>
          <w:rFonts w:ascii="仿宋" w:eastAsia="仿宋" w:hAnsi="仿宋" w:cs="仿宋" w:hint="eastAsia"/>
          <w:sz w:val="28"/>
          <w:szCs w:val="28"/>
        </w:rPr>
        <w:t>专项计划数。</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w:t>
      </w:r>
      <w:r w:rsidR="0015719C">
        <w:rPr>
          <w:rFonts w:ascii="仿宋" w:eastAsia="仿宋" w:hAnsi="仿宋" w:cs="仿宋" w:hint="eastAsia"/>
          <w:sz w:val="28"/>
          <w:szCs w:val="28"/>
        </w:rPr>
        <w:t>学院</w:t>
      </w:r>
      <w:r w:rsidR="00D36A73">
        <w:rPr>
          <w:rFonts w:ascii="仿宋" w:eastAsia="仿宋" w:hAnsi="仿宋" w:cs="仿宋" w:hint="eastAsia"/>
          <w:sz w:val="28"/>
          <w:szCs w:val="28"/>
        </w:rPr>
        <w:t>与</w:t>
      </w:r>
      <w:r w:rsidR="0015719C">
        <w:rPr>
          <w:rFonts w:ascii="仿宋" w:eastAsia="仿宋" w:hAnsi="仿宋" w:cs="仿宋" w:hint="eastAsia"/>
          <w:sz w:val="28"/>
          <w:szCs w:val="28"/>
        </w:rPr>
        <w:t>试点</w:t>
      </w:r>
      <w:r w:rsidR="00D36A73">
        <w:rPr>
          <w:rFonts w:ascii="仿宋" w:eastAsia="仿宋" w:hAnsi="仿宋" w:cs="仿宋" w:hint="eastAsia"/>
          <w:sz w:val="28"/>
          <w:szCs w:val="28"/>
        </w:rPr>
        <w:t>内</w:t>
      </w:r>
      <w:r w:rsidR="00224924">
        <w:rPr>
          <w:rFonts w:ascii="仿宋" w:eastAsia="仿宋" w:hAnsi="仿宋" w:cs="仿宋" w:hint="eastAsia"/>
          <w:sz w:val="28"/>
          <w:szCs w:val="28"/>
        </w:rPr>
        <w:t>企业</w:t>
      </w:r>
      <w:r w:rsidR="00D36A73">
        <w:rPr>
          <w:rFonts w:ascii="仿宋" w:eastAsia="仿宋" w:hAnsi="仿宋" w:cs="仿宋" w:hint="eastAsia"/>
          <w:sz w:val="28"/>
          <w:szCs w:val="28"/>
        </w:rPr>
        <w:t>沟通，</w:t>
      </w:r>
      <w:r>
        <w:rPr>
          <w:rFonts w:ascii="仿宋" w:eastAsia="仿宋" w:hAnsi="仿宋" w:cs="仿宋" w:hint="eastAsia"/>
          <w:sz w:val="28"/>
          <w:szCs w:val="28"/>
        </w:rPr>
        <w:t>确定</w:t>
      </w:r>
      <w:r w:rsidR="00224924">
        <w:rPr>
          <w:rFonts w:ascii="仿宋" w:eastAsia="仿宋" w:hAnsi="仿宋" w:cs="仿宋" w:hint="eastAsia"/>
          <w:sz w:val="28"/>
          <w:szCs w:val="28"/>
        </w:rPr>
        <w:t>校企相关合作导师招生计划</w:t>
      </w:r>
      <w:r>
        <w:rPr>
          <w:rFonts w:ascii="仿宋" w:eastAsia="仿宋" w:hAnsi="仿宋" w:cs="仿宋" w:hint="eastAsia"/>
          <w:sz w:val="28"/>
          <w:szCs w:val="28"/>
        </w:rPr>
        <w:t>，</w:t>
      </w:r>
      <w:r w:rsidR="006463BC">
        <w:rPr>
          <w:rFonts w:ascii="仿宋" w:eastAsia="仿宋" w:hAnsi="仿宋" w:cs="仿宋" w:hint="eastAsia"/>
          <w:sz w:val="28"/>
          <w:szCs w:val="28"/>
        </w:rPr>
        <w:t>报培养办</w:t>
      </w:r>
      <w:r>
        <w:rPr>
          <w:rFonts w:ascii="仿宋" w:eastAsia="仿宋" w:hAnsi="仿宋" w:cs="仿宋" w:hint="eastAsia"/>
          <w:sz w:val="28"/>
          <w:szCs w:val="28"/>
        </w:rPr>
        <w:t>。</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三、复试前1-2周，</w:t>
      </w:r>
      <w:r w:rsidR="00224924">
        <w:rPr>
          <w:rFonts w:ascii="仿宋" w:eastAsia="仿宋" w:hAnsi="仿宋" w:cs="仿宋" w:hint="eastAsia"/>
          <w:sz w:val="28"/>
          <w:szCs w:val="28"/>
        </w:rPr>
        <w:t>培养办根据校企相关合作导师招生计划和专项计划总数分配各学院计划，报研招办</w:t>
      </w:r>
      <w:r>
        <w:rPr>
          <w:rFonts w:ascii="仿宋" w:eastAsia="仿宋" w:hAnsi="仿宋" w:cs="仿宋" w:hint="eastAsia"/>
          <w:sz w:val="28"/>
          <w:szCs w:val="28"/>
        </w:rPr>
        <w:t>由研招办公布招生计划及说明。计划单列，不受学院每名导师招生限额的限制。</w:t>
      </w:r>
    </w:p>
    <w:p w:rsidR="009A4830" w:rsidRDefault="006463BC">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w:t>
      </w:r>
      <w:r w:rsidR="00825E28">
        <w:rPr>
          <w:rFonts w:ascii="仿宋" w:eastAsia="仿宋" w:hAnsi="仿宋" w:cs="仿宋" w:hint="eastAsia"/>
          <w:sz w:val="28"/>
          <w:szCs w:val="28"/>
        </w:rPr>
        <w:t>学院公布复试方案时，注意专项计划单独列出，</w:t>
      </w:r>
      <w:r>
        <w:rPr>
          <w:rFonts w:ascii="仿宋" w:eastAsia="仿宋" w:hAnsi="仿宋" w:cs="仿宋" w:hint="eastAsia"/>
          <w:sz w:val="28"/>
          <w:szCs w:val="28"/>
        </w:rPr>
        <w:t>例如</w:t>
      </w:r>
      <w:r w:rsidR="00825E28">
        <w:rPr>
          <w:rFonts w:ascii="仿宋" w:eastAsia="仿宋" w:hAnsi="仿宋" w:cs="仿宋" w:hint="eastAsia"/>
          <w:sz w:val="28"/>
          <w:szCs w:val="28"/>
        </w:rPr>
        <w:t>2021年材料科学与工程学院</w:t>
      </w:r>
      <w:r w:rsidR="00292DD5">
        <w:rPr>
          <w:rFonts w:ascii="仿宋" w:eastAsia="仿宋" w:hAnsi="仿宋" w:cs="仿宋" w:hint="eastAsia"/>
          <w:sz w:val="28"/>
          <w:szCs w:val="28"/>
        </w:rPr>
        <w:t>（中科院大连化物所专项招生）</w:t>
      </w:r>
      <w:r w:rsidR="00825E28">
        <w:rPr>
          <w:rFonts w:ascii="仿宋" w:eastAsia="仿宋" w:hAnsi="仿宋" w:cs="仿宋" w:hint="eastAsia"/>
          <w:sz w:val="28"/>
          <w:szCs w:val="28"/>
        </w:rPr>
        <w:t>公布情况：</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noProof/>
          <w:sz w:val="28"/>
          <w:szCs w:val="28"/>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123825</wp:posOffset>
            </wp:positionV>
            <wp:extent cx="5269230" cy="2645410"/>
            <wp:effectExtent l="0" t="0" r="7620" b="2540"/>
            <wp:wrapTight wrapText="bothSides">
              <wp:wrapPolygon edited="0">
                <wp:start x="0" y="0"/>
                <wp:lineTo x="0" y="21465"/>
                <wp:lineTo x="21553" y="21465"/>
                <wp:lineTo x="2155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9230" cy="2645410"/>
                    </a:xfrm>
                    <a:prstGeom prst="rect">
                      <a:avLst/>
                    </a:prstGeom>
                    <a:noFill/>
                    <a:ln>
                      <a:noFill/>
                    </a:ln>
                  </pic:spPr>
                </pic:pic>
              </a:graphicData>
            </a:graphic>
          </wp:anchor>
        </w:drawing>
      </w:r>
      <w:r>
        <w:rPr>
          <w:rFonts w:ascii="仿宋" w:eastAsia="仿宋" w:hAnsi="仿宋" w:cs="仿宋" w:hint="eastAsia"/>
          <w:sz w:val="28"/>
          <w:szCs w:val="28"/>
        </w:rPr>
        <w:t>五、复试结束后，拟录取名单公布前，由学院按以下方案通知考生确定。以材料科学与工程学院为例：</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根据材料科学与工程学院材料与化工（05能源与装备材料工程）招生名额计划安排，非专项计划名额为69人，专项计划为7人，分为以下几种情况：</w:t>
      </w:r>
    </w:p>
    <w:p w:rsidR="009A4830" w:rsidRDefault="00825E28">
      <w:pPr>
        <w:widowControl/>
        <w:spacing w:line="360" w:lineRule="auto"/>
        <w:ind w:leftChars="200" w:left="420" w:firstLineChars="100" w:firstLine="280"/>
        <w:jc w:val="left"/>
        <w:rPr>
          <w:rFonts w:ascii="仿宋" w:eastAsia="仿宋" w:hAnsi="仿宋" w:cs="仿宋"/>
          <w:sz w:val="28"/>
          <w:szCs w:val="28"/>
        </w:rPr>
      </w:pPr>
      <w:r>
        <w:rPr>
          <w:rFonts w:ascii="仿宋" w:eastAsia="仿宋" w:hAnsi="仿宋" w:cs="仿宋" w:hint="eastAsia"/>
          <w:sz w:val="28"/>
          <w:szCs w:val="28"/>
        </w:rPr>
        <w:t>1</w:t>
      </w:r>
      <w:r w:rsidR="005A7D72">
        <w:rPr>
          <w:rFonts w:ascii="仿宋" w:eastAsia="仿宋" w:hAnsi="仿宋" w:cs="仿宋" w:hint="eastAsia"/>
          <w:sz w:val="28"/>
          <w:szCs w:val="28"/>
        </w:rPr>
        <w:t>.</w:t>
      </w:r>
      <w:r>
        <w:rPr>
          <w:rFonts w:ascii="仿宋" w:eastAsia="仿宋" w:hAnsi="仿宋" w:cs="仿宋" w:hint="eastAsia"/>
          <w:sz w:val="28"/>
          <w:szCs w:val="28"/>
        </w:rPr>
        <w:t>前69名考生中报名该专项的人数≥7人，则按照报名考生的总成绩从高到底依次录取前7名，同时依次递补第70至第76名考生作为非专项考生；</w:t>
      </w:r>
    </w:p>
    <w:p w:rsidR="009A4830" w:rsidRDefault="00825E28">
      <w:pPr>
        <w:widowControl/>
        <w:spacing w:line="360" w:lineRule="auto"/>
        <w:ind w:leftChars="200" w:left="420" w:firstLineChars="100" w:firstLine="280"/>
        <w:jc w:val="left"/>
        <w:rPr>
          <w:rFonts w:ascii="仿宋" w:eastAsia="仿宋" w:hAnsi="仿宋" w:cs="仿宋"/>
          <w:sz w:val="28"/>
          <w:szCs w:val="28"/>
        </w:rPr>
      </w:pPr>
      <w:r>
        <w:rPr>
          <w:rFonts w:ascii="仿宋" w:eastAsia="仿宋" w:hAnsi="仿宋" w:cs="仿宋" w:hint="eastAsia"/>
          <w:sz w:val="28"/>
          <w:szCs w:val="28"/>
        </w:rPr>
        <w:t>2</w:t>
      </w:r>
      <w:r w:rsidR="005A7D72">
        <w:rPr>
          <w:rFonts w:ascii="仿宋" w:eastAsia="仿宋" w:hAnsi="仿宋" w:cs="仿宋" w:hint="eastAsia"/>
          <w:sz w:val="28"/>
          <w:szCs w:val="28"/>
        </w:rPr>
        <w:t>.</w:t>
      </w:r>
      <w:r>
        <w:rPr>
          <w:rFonts w:ascii="仿宋" w:eastAsia="仿宋" w:hAnsi="仿宋" w:cs="仿宋" w:hint="eastAsia"/>
          <w:sz w:val="28"/>
          <w:szCs w:val="28"/>
        </w:rPr>
        <w:t>前69名考生中报名该专项的人数≥1人且＜7人，则录取所有报名该专项计划的考生，同时该专项计划剩余名额从第70名考生开始依次询问考生，若不选择该专项计划则不会被拟录取，视为自动放弃，直到该专项计划人数招满为止。</w:t>
      </w:r>
    </w:p>
    <w:p w:rsidR="009A4830" w:rsidRDefault="00825E28">
      <w:pPr>
        <w:widowControl/>
        <w:spacing w:line="360" w:lineRule="auto"/>
        <w:ind w:leftChars="200" w:left="420" w:firstLineChars="100" w:firstLine="280"/>
        <w:jc w:val="left"/>
        <w:rPr>
          <w:rFonts w:ascii="仿宋" w:eastAsia="仿宋" w:hAnsi="仿宋" w:cs="仿宋"/>
          <w:sz w:val="28"/>
          <w:szCs w:val="28"/>
        </w:rPr>
      </w:pPr>
      <w:r>
        <w:rPr>
          <w:rFonts w:ascii="仿宋" w:eastAsia="仿宋" w:hAnsi="仿宋" w:cs="仿宋" w:hint="eastAsia"/>
          <w:sz w:val="28"/>
          <w:szCs w:val="28"/>
        </w:rPr>
        <w:t>3</w:t>
      </w:r>
      <w:r w:rsidR="005A7D72">
        <w:rPr>
          <w:rFonts w:ascii="仿宋" w:eastAsia="仿宋" w:hAnsi="仿宋" w:cs="仿宋" w:hint="eastAsia"/>
          <w:sz w:val="28"/>
          <w:szCs w:val="28"/>
        </w:rPr>
        <w:t>.</w:t>
      </w:r>
      <w:r>
        <w:rPr>
          <w:rFonts w:ascii="仿宋" w:eastAsia="仿宋" w:hAnsi="仿宋" w:cs="仿宋" w:hint="eastAsia"/>
          <w:sz w:val="28"/>
          <w:szCs w:val="28"/>
        </w:rPr>
        <w:t>前69名考生中报名该专项的人数为0，则从第70名考生开始依次询问考生，若不选择该专项计划则不会被拟录取，视为自动放弃，直到该专项计划人数招满为止。</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六、拟录取名单确定后，由学院在公示拟录取考生名单期间同时上报培养办。</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七、拟录取名单确定后，拟录取为该专项计划的考生须于两周内将承诺书原件和身份证复印件邮寄至拟录取学院。</w:t>
      </w:r>
    </w:p>
    <w:p w:rsidR="009A4830" w:rsidRDefault="00825E28">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八、培养办将录取研究生名单报送</w:t>
      </w:r>
      <w:r w:rsidR="00224924">
        <w:rPr>
          <w:rFonts w:ascii="仿宋" w:eastAsia="仿宋" w:hAnsi="仿宋" w:cs="仿宋" w:hint="eastAsia"/>
          <w:sz w:val="28"/>
          <w:szCs w:val="28"/>
        </w:rPr>
        <w:t>试点内联合培养企业</w:t>
      </w:r>
      <w:r w:rsidR="00292DD5">
        <w:rPr>
          <w:rFonts w:ascii="仿宋" w:eastAsia="仿宋" w:hAnsi="仿宋" w:cs="仿宋" w:hint="eastAsia"/>
          <w:sz w:val="28"/>
          <w:szCs w:val="28"/>
        </w:rPr>
        <w:t>备案</w:t>
      </w:r>
      <w:r>
        <w:rPr>
          <w:rFonts w:ascii="仿宋" w:eastAsia="仿宋" w:hAnsi="仿宋" w:cs="仿宋" w:hint="eastAsia"/>
          <w:sz w:val="28"/>
          <w:szCs w:val="28"/>
        </w:rPr>
        <w:t>。</w:t>
      </w:r>
    </w:p>
    <w:p w:rsidR="009A4830" w:rsidRDefault="009A4830">
      <w:pPr>
        <w:widowControl/>
        <w:spacing w:line="360" w:lineRule="auto"/>
        <w:jc w:val="left"/>
        <w:rPr>
          <w:rFonts w:ascii="仿宋" w:eastAsia="仿宋" w:hAnsi="仿宋" w:cs="仿宋"/>
          <w:sz w:val="28"/>
          <w:szCs w:val="28"/>
        </w:rPr>
      </w:pPr>
    </w:p>
    <w:p w:rsidR="009A4830" w:rsidRDefault="009A4830">
      <w:pPr>
        <w:widowControl/>
        <w:spacing w:line="360" w:lineRule="auto"/>
        <w:ind w:firstLineChars="200" w:firstLine="560"/>
        <w:jc w:val="left"/>
        <w:rPr>
          <w:rFonts w:ascii="仿宋" w:eastAsia="仿宋" w:hAnsi="仿宋" w:cs="仿宋"/>
          <w:sz w:val="28"/>
          <w:szCs w:val="28"/>
        </w:rPr>
      </w:pPr>
    </w:p>
    <w:p w:rsidR="00840FC9" w:rsidRPr="00840FC9" w:rsidRDefault="00840FC9">
      <w:pPr>
        <w:widowControl/>
        <w:spacing w:line="360" w:lineRule="auto"/>
        <w:ind w:firstLineChars="200" w:firstLine="560"/>
        <w:jc w:val="left"/>
        <w:rPr>
          <w:rFonts w:ascii="仿宋" w:eastAsia="仿宋" w:hAnsi="仿宋" w:cs="仿宋"/>
          <w:sz w:val="28"/>
          <w:szCs w:val="28"/>
        </w:rPr>
      </w:pPr>
      <w:bookmarkStart w:id="0" w:name="_GoBack"/>
      <w:bookmarkEnd w:id="0"/>
    </w:p>
    <w:p w:rsidR="009A4830" w:rsidRDefault="009A4830" w:rsidP="00224924">
      <w:pPr>
        <w:widowControl/>
        <w:spacing w:line="360" w:lineRule="auto"/>
        <w:jc w:val="left"/>
        <w:rPr>
          <w:rFonts w:ascii="仿宋" w:eastAsia="仿宋" w:hAnsi="仿宋" w:cs="仿宋"/>
          <w:sz w:val="28"/>
          <w:szCs w:val="28"/>
        </w:rPr>
      </w:pPr>
    </w:p>
    <w:p w:rsidR="009A4830" w:rsidRDefault="00825E28">
      <w:pPr>
        <w:jc w:val="center"/>
        <w:rPr>
          <w:rFonts w:ascii="仿宋" w:eastAsia="仿宋" w:hAnsi="仿宋"/>
          <w:b/>
          <w:sz w:val="30"/>
          <w:szCs w:val="30"/>
        </w:rPr>
      </w:pPr>
      <w:r>
        <w:rPr>
          <w:rFonts w:ascii="仿宋" w:eastAsia="仿宋" w:hAnsi="仿宋" w:hint="eastAsia"/>
          <w:b/>
          <w:sz w:val="30"/>
          <w:szCs w:val="30"/>
        </w:rPr>
        <w:lastRenderedPageBreak/>
        <w:t>关于对</w:t>
      </w:r>
      <w:r w:rsidR="00224924" w:rsidRPr="00224924">
        <w:rPr>
          <w:rFonts w:ascii="仿宋" w:eastAsia="仿宋" w:hAnsi="仿宋" w:hint="eastAsia"/>
          <w:b/>
          <w:sz w:val="30"/>
          <w:szCs w:val="30"/>
        </w:rPr>
        <w:t>山东省工程硕博士培养改革试点</w:t>
      </w:r>
      <w:r>
        <w:rPr>
          <w:rFonts w:ascii="仿宋" w:eastAsia="仿宋" w:hAnsi="仿宋" w:hint="eastAsia"/>
          <w:b/>
          <w:sz w:val="30"/>
          <w:szCs w:val="30"/>
        </w:rPr>
        <w:t>专项招生计划的说明</w:t>
      </w:r>
    </w:p>
    <w:p w:rsidR="009A4830" w:rsidRDefault="009A4830">
      <w:pPr>
        <w:rPr>
          <w:rFonts w:ascii="仿宋" w:eastAsia="仿宋" w:hAnsi="仿宋"/>
          <w:sz w:val="24"/>
          <w:szCs w:val="28"/>
        </w:rPr>
      </w:pPr>
    </w:p>
    <w:p w:rsidR="009A4830" w:rsidRDefault="00825E28">
      <w:pPr>
        <w:ind w:firstLineChars="200" w:firstLine="560"/>
        <w:rPr>
          <w:rFonts w:ascii="仿宋" w:eastAsia="仿宋" w:hAnsi="仿宋"/>
          <w:sz w:val="28"/>
          <w:szCs w:val="28"/>
        </w:rPr>
      </w:pPr>
      <w:r>
        <w:rPr>
          <w:rFonts w:ascii="仿宋" w:eastAsia="仿宋" w:hAnsi="仿宋" w:hint="eastAsia"/>
          <w:sz w:val="28"/>
          <w:szCs w:val="28"/>
        </w:rPr>
        <w:t>根据</w:t>
      </w:r>
      <w:r w:rsidR="00292DD5">
        <w:rPr>
          <w:rFonts w:ascii="仿宋" w:eastAsia="仿宋" w:hAnsi="仿宋" w:hint="eastAsia"/>
          <w:sz w:val="28"/>
          <w:szCs w:val="28"/>
        </w:rPr>
        <w:t>山东省</w:t>
      </w:r>
      <w:r w:rsidR="00224924">
        <w:rPr>
          <w:rFonts w:ascii="仿宋" w:eastAsia="仿宋" w:hAnsi="仿宋" w:hint="eastAsia"/>
          <w:sz w:val="28"/>
          <w:szCs w:val="28"/>
        </w:rPr>
        <w:t>工程硕博士培养改革试点建设申请</w:t>
      </w:r>
      <w:r>
        <w:rPr>
          <w:rFonts w:ascii="仿宋" w:eastAsia="仿宋" w:hAnsi="仿宋" w:hint="eastAsia"/>
          <w:sz w:val="28"/>
          <w:szCs w:val="28"/>
        </w:rPr>
        <w:t>，学校设立</w:t>
      </w:r>
      <w:r w:rsidR="00292DD5" w:rsidRPr="00292DD5">
        <w:rPr>
          <w:rFonts w:ascii="仿宋" w:eastAsia="仿宋" w:hAnsi="仿宋" w:hint="eastAsia"/>
          <w:sz w:val="28"/>
          <w:szCs w:val="28"/>
        </w:rPr>
        <w:t>山东省</w:t>
      </w:r>
      <w:r w:rsidR="00224924">
        <w:rPr>
          <w:rFonts w:ascii="仿宋" w:eastAsia="仿宋" w:hAnsi="仿宋" w:hint="eastAsia"/>
          <w:sz w:val="28"/>
          <w:szCs w:val="28"/>
        </w:rPr>
        <w:t>工程硕博士培养改革试点</w:t>
      </w:r>
      <w:r>
        <w:rPr>
          <w:rFonts w:ascii="仿宋" w:eastAsia="仿宋" w:hAnsi="仿宋" w:hint="eastAsia"/>
          <w:sz w:val="28"/>
          <w:szCs w:val="28"/>
        </w:rPr>
        <w:t>专项。现对专项计划使用做如下说明：</w:t>
      </w:r>
    </w:p>
    <w:p w:rsidR="009A4830" w:rsidRDefault="00825E28">
      <w:pPr>
        <w:pStyle w:val="a4"/>
        <w:numPr>
          <w:ilvl w:val="0"/>
          <w:numId w:val="1"/>
        </w:numPr>
        <w:tabs>
          <w:tab w:val="left" w:pos="851"/>
        </w:tabs>
        <w:ind w:left="2" w:firstLineChars="0" w:firstLine="565"/>
        <w:rPr>
          <w:rFonts w:ascii="仿宋" w:eastAsia="仿宋" w:hAnsi="仿宋"/>
          <w:sz w:val="28"/>
          <w:szCs w:val="28"/>
        </w:rPr>
      </w:pPr>
      <w:r>
        <w:rPr>
          <w:rFonts w:ascii="仿宋" w:eastAsia="仿宋" w:hAnsi="仿宋" w:hint="eastAsia"/>
          <w:sz w:val="28"/>
          <w:szCs w:val="28"/>
        </w:rPr>
        <w:t xml:space="preserve"> 专项计划为单列性招生计划，必须用于同</w:t>
      </w:r>
      <w:r w:rsidR="00224924" w:rsidRPr="00292DD5">
        <w:rPr>
          <w:rFonts w:ascii="仿宋" w:eastAsia="仿宋" w:hAnsi="仿宋" w:hint="eastAsia"/>
          <w:sz w:val="28"/>
          <w:szCs w:val="28"/>
        </w:rPr>
        <w:t>山东省</w:t>
      </w:r>
      <w:r w:rsidR="00224924">
        <w:rPr>
          <w:rFonts w:ascii="仿宋" w:eastAsia="仿宋" w:hAnsi="仿宋" w:hint="eastAsia"/>
          <w:sz w:val="28"/>
          <w:szCs w:val="28"/>
        </w:rPr>
        <w:t>工程硕博士培养改革试点内企业</w:t>
      </w:r>
      <w:r>
        <w:rPr>
          <w:rFonts w:ascii="仿宋" w:eastAsia="仿宋" w:hAnsi="仿宋" w:hint="eastAsia"/>
          <w:sz w:val="28"/>
          <w:szCs w:val="28"/>
        </w:rPr>
        <w:t>的联合培养工作。专项计划录取研究生须与学校签订协议，自第二学年起在</w:t>
      </w:r>
      <w:r w:rsidR="00224924">
        <w:rPr>
          <w:rFonts w:ascii="仿宋" w:eastAsia="仿宋" w:hAnsi="仿宋" w:hint="eastAsia"/>
          <w:sz w:val="28"/>
          <w:szCs w:val="28"/>
        </w:rPr>
        <w:t>企业</w:t>
      </w:r>
      <w:r>
        <w:rPr>
          <w:rFonts w:ascii="仿宋" w:eastAsia="仿宋" w:hAnsi="仿宋" w:hint="eastAsia"/>
          <w:sz w:val="28"/>
          <w:szCs w:val="28"/>
        </w:rPr>
        <w:t>开展联合培养，联合培养经历按照我校专业学位研究生专业实践环节进行管理与考核。</w:t>
      </w:r>
    </w:p>
    <w:p w:rsidR="009A4830" w:rsidRDefault="00825E28">
      <w:pPr>
        <w:ind w:left="2" w:firstLineChars="200" w:firstLine="560"/>
        <w:rPr>
          <w:rFonts w:ascii="仿宋" w:eastAsia="仿宋" w:hAnsi="仿宋"/>
          <w:sz w:val="28"/>
          <w:szCs w:val="28"/>
        </w:rPr>
      </w:pPr>
      <w:r>
        <w:rPr>
          <w:rFonts w:ascii="仿宋" w:eastAsia="仿宋" w:hAnsi="仿宋"/>
          <w:sz w:val="28"/>
          <w:szCs w:val="28"/>
        </w:rPr>
        <w:t xml:space="preserve">2. </w:t>
      </w:r>
      <w:r>
        <w:rPr>
          <w:rFonts w:ascii="仿宋" w:eastAsia="仿宋" w:hAnsi="仿宋" w:hint="eastAsia"/>
          <w:sz w:val="28"/>
          <w:szCs w:val="28"/>
        </w:rPr>
        <w:t>专项计划录取研究生均须正常参加研究生复试，不得因参与专项计划而降低录取标准。各相关学院须在复试后，将专项计划录取名单单独报送给研究生院。</w:t>
      </w:r>
    </w:p>
    <w:p w:rsidR="009A4830" w:rsidRDefault="009A4830">
      <w:pPr>
        <w:widowControl/>
        <w:spacing w:line="360" w:lineRule="auto"/>
        <w:jc w:val="left"/>
        <w:rPr>
          <w:rFonts w:ascii="仿宋" w:eastAsia="仿宋" w:hAnsi="仿宋" w:cs="仿宋"/>
          <w:color w:val="292929"/>
          <w:sz w:val="30"/>
          <w:szCs w:val="30"/>
        </w:rPr>
      </w:pPr>
    </w:p>
    <w:p w:rsidR="009A4830" w:rsidRDefault="009A4830">
      <w:pPr>
        <w:pStyle w:val="a3"/>
        <w:shd w:val="clear" w:color="auto" w:fill="FFFFFF"/>
        <w:spacing w:before="0" w:beforeAutospacing="0" w:after="0" w:afterAutospacing="0" w:line="460" w:lineRule="exact"/>
        <w:ind w:firstLineChars="200" w:firstLine="560"/>
        <w:rPr>
          <w:rFonts w:ascii="微软雅黑" w:eastAsia="微软雅黑" w:hAnsi="微软雅黑"/>
          <w:color w:val="292929"/>
          <w:sz w:val="28"/>
          <w:szCs w:val="28"/>
        </w:rPr>
      </w:pPr>
    </w:p>
    <w:sectPr w:rsidR="009A4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8B" w:rsidRDefault="0036168B" w:rsidP="00A37471">
      <w:r>
        <w:separator/>
      </w:r>
    </w:p>
  </w:endnote>
  <w:endnote w:type="continuationSeparator" w:id="0">
    <w:p w:rsidR="0036168B" w:rsidRDefault="0036168B" w:rsidP="00A3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8B" w:rsidRDefault="0036168B" w:rsidP="00A37471">
      <w:r>
        <w:separator/>
      </w:r>
    </w:p>
  </w:footnote>
  <w:footnote w:type="continuationSeparator" w:id="0">
    <w:p w:rsidR="0036168B" w:rsidRDefault="0036168B" w:rsidP="00A374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72752"/>
    <w:multiLevelType w:val="multilevel"/>
    <w:tmpl w:val="4C2727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E0E3C20"/>
    <w:multiLevelType w:val="multilevel"/>
    <w:tmpl w:val="7E0E3C20"/>
    <w:lvl w:ilvl="0">
      <w:start w:val="1"/>
      <w:numFmt w:val="decimal"/>
      <w:lvlText w:val="%1."/>
      <w:lvlJc w:val="left"/>
      <w:pPr>
        <w:ind w:left="2849" w:hanging="723"/>
      </w:pPr>
      <w:rPr>
        <w:rFonts w:hint="default"/>
      </w:rPr>
    </w:lvl>
    <w:lvl w:ilvl="1">
      <w:start w:val="1"/>
      <w:numFmt w:val="lowerLetter"/>
      <w:lvlText w:val="%2)"/>
      <w:lvlJc w:val="left"/>
      <w:pPr>
        <w:ind w:left="3329" w:hanging="420"/>
      </w:pPr>
    </w:lvl>
    <w:lvl w:ilvl="2">
      <w:start w:val="1"/>
      <w:numFmt w:val="lowerRoman"/>
      <w:lvlText w:val="%3."/>
      <w:lvlJc w:val="right"/>
      <w:pPr>
        <w:ind w:left="3749" w:hanging="420"/>
      </w:pPr>
    </w:lvl>
    <w:lvl w:ilvl="3">
      <w:start w:val="1"/>
      <w:numFmt w:val="decimal"/>
      <w:lvlText w:val="%4."/>
      <w:lvlJc w:val="left"/>
      <w:pPr>
        <w:ind w:left="4169" w:hanging="420"/>
      </w:pPr>
    </w:lvl>
    <w:lvl w:ilvl="4">
      <w:start w:val="1"/>
      <w:numFmt w:val="lowerLetter"/>
      <w:lvlText w:val="%5)"/>
      <w:lvlJc w:val="left"/>
      <w:pPr>
        <w:ind w:left="4589" w:hanging="420"/>
      </w:pPr>
    </w:lvl>
    <w:lvl w:ilvl="5">
      <w:start w:val="1"/>
      <w:numFmt w:val="lowerRoman"/>
      <w:lvlText w:val="%6."/>
      <w:lvlJc w:val="right"/>
      <w:pPr>
        <w:ind w:left="5009" w:hanging="420"/>
      </w:pPr>
    </w:lvl>
    <w:lvl w:ilvl="6">
      <w:start w:val="1"/>
      <w:numFmt w:val="decimal"/>
      <w:lvlText w:val="%7."/>
      <w:lvlJc w:val="left"/>
      <w:pPr>
        <w:ind w:left="5429" w:hanging="420"/>
      </w:pPr>
    </w:lvl>
    <w:lvl w:ilvl="7">
      <w:start w:val="1"/>
      <w:numFmt w:val="lowerLetter"/>
      <w:lvlText w:val="%8)"/>
      <w:lvlJc w:val="left"/>
      <w:pPr>
        <w:ind w:left="5849" w:hanging="420"/>
      </w:pPr>
    </w:lvl>
    <w:lvl w:ilvl="8">
      <w:start w:val="1"/>
      <w:numFmt w:val="lowerRoman"/>
      <w:lvlText w:val="%9."/>
      <w:lvlJc w:val="right"/>
      <w:pPr>
        <w:ind w:left="626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F393C"/>
    <w:rsid w:val="0015719C"/>
    <w:rsid w:val="001F2BAF"/>
    <w:rsid w:val="00224924"/>
    <w:rsid w:val="00292DD5"/>
    <w:rsid w:val="0036168B"/>
    <w:rsid w:val="005A7D72"/>
    <w:rsid w:val="0064213C"/>
    <w:rsid w:val="00643FC8"/>
    <w:rsid w:val="006463BC"/>
    <w:rsid w:val="00825E28"/>
    <w:rsid w:val="00840FC9"/>
    <w:rsid w:val="009A4830"/>
    <w:rsid w:val="00A37471"/>
    <w:rsid w:val="00A80ACA"/>
    <w:rsid w:val="00D36A73"/>
    <w:rsid w:val="00DB111B"/>
    <w:rsid w:val="00E57B53"/>
    <w:rsid w:val="00EF6C0D"/>
    <w:rsid w:val="00F5222C"/>
    <w:rsid w:val="00FC67B1"/>
    <w:rsid w:val="012C04D1"/>
    <w:rsid w:val="01D84A93"/>
    <w:rsid w:val="031E48A7"/>
    <w:rsid w:val="04575EF3"/>
    <w:rsid w:val="056D5C20"/>
    <w:rsid w:val="06EE2361"/>
    <w:rsid w:val="0B3A358E"/>
    <w:rsid w:val="0DC5788D"/>
    <w:rsid w:val="0F4414C0"/>
    <w:rsid w:val="16052A34"/>
    <w:rsid w:val="184C1D1F"/>
    <w:rsid w:val="1F4B343F"/>
    <w:rsid w:val="23054DF8"/>
    <w:rsid w:val="280C20A9"/>
    <w:rsid w:val="2A967F1D"/>
    <w:rsid w:val="2CE035BE"/>
    <w:rsid w:val="2EEF7CE5"/>
    <w:rsid w:val="36CC474D"/>
    <w:rsid w:val="39DB3E97"/>
    <w:rsid w:val="3A27098B"/>
    <w:rsid w:val="3AF85B85"/>
    <w:rsid w:val="3BC317DB"/>
    <w:rsid w:val="3CC07781"/>
    <w:rsid w:val="3FF90F38"/>
    <w:rsid w:val="40F029C2"/>
    <w:rsid w:val="42084F89"/>
    <w:rsid w:val="45F80980"/>
    <w:rsid w:val="4E276958"/>
    <w:rsid w:val="4E5A7805"/>
    <w:rsid w:val="502637B6"/>
    <w:rsid w:val="59AF0B79"/>
    <w:rsid w:val="5D337D60"/>
    <w:rsid w:val="60455B21"/>
    <w:rsid w:val="650565D2"/>
    <w:rsid w:val="682563CC"/>
    <w:rsid w:val="6A6118BB"/>
    <w:rsid w:val="6E3A1F6C"/>
    <w:rsid w:val="763F393C"/>
    <w:rsid w:val="76CC63A9"/>
    <w:rsid w:val="780F04CA"/>
    <w:rsid w:val="7D21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39ECA1"/>
  <w15:docId w15:val="{9501532F-43CB-4DB2-8362-12CE9E49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pPr>
      <w:ind w:firstLineChars="200" w:firstLine="420"/>
    </w:pPr>
  </w:style>
  <w:style w:type="paragraph" w:styleId="a5">
    <w:name w:val="header"/>
    <w:basedOn w:val="a"/>
    <w:link w:val="a6"/>
    <w:rsid w:val="00A3747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37471"/>
    <w:rPr>
      <w:rFonts w:asciiTheme="minorHAnsi" w:eastAsiaTheme="minorEastAsia" w:hAnsiTheme="minorHAnsi" w:cstheme="minorBidi"/>
      <w:kern w:val="2"/>
      <w:sz w:val="18"/>
      <w:szCs w:val="18"/>
    </w:rPr>
  </w:style>
  <w:style w:type="paragraph" w:styleId="a7">
    <w:name w:val="footer"/>
    <w:basedOn w:val="a"/>
    <w:link w:val="a8"/>
    <w:rsid w:val="00A37471"/>
    <w:pPr>
      <w:tabs>
        <w:tab w:val="center" w:pos="4153"/>
        <w:tab w:val="right" w:pos="8306"/>
      </w:tabs>
      <w:snapToGrid w:val="0"/>
      <w:jc w:val="left"/>
    </w:pPr>
    <w:rPr>
      <w:sz w:val="18"/>
      <w:szCs w:val="18"/>
    </w:rPr>
  </w:style>
  <w:style w:type="character" w:customStyle="1" w:styleId="a8">
    <w:name w:val="页脚 字符"/>
    <w:basedOn w:val="a0"/>
    <w:link w:val="a7"/>
    <w:rsid w:val="00A374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cp:lastPrinted>2021-04-16T00:23:00Z</cp:lastPrinted>
  <dcterms:created xsi:type="dcterms:W3CDTF">2023-03-14T07:15:00Z</dcterms:created>
  <dcterms:modified xsi:type="dcterms:W3CDTF">2023-03-14T08:42:00Z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70F4DA2386C6467F9699B3054C4481D6</vt:lpwstr>
  </property>
</Properties>
</file>